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B8D" w:rsidRDefault="00DC410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5E4B8D" w:rsidRDefault="00DC410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E4B8D" w:rsidRDefault="00DC410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2"/>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5E4B8D">
        <w:tc>
          <w:tcPr>
            <w:tcW w:w="2462" w:type="dxa"/>
          </w:tcPr>
          <w:p w:rsidR="005E4B8D" w:rsidRDefault="00DC410F">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minimum credit rating level for the Monitored Company as set out in Annex 2 </w:t>
            </w:r>
          </w:p>
        </w:tc>
      </w:tr>
      <w:tr w:rsidR="005E4B8D">
        <w:tc>
          <w:tcPr>
            <w:tcW w:w="2462" w:type="dxa"/>
          </w:tcPr>
          <w:p w:rsidR="005E4B8D" w:rsidRDefault="00DC410F">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r w:rsidR="007541E8">
              <w:rPr>
                <w:rFonts w:ascii="Arial" w:eastAsia="Arial" w:hAnsi="Arial"/>
                <w:sz w:val="24"/>
                <w:szCs w:val="24"/>
              </w:rPr>
              <w:t>Company</w:t>
            </w:r>
            <w:r>
              <w:rPr>
                <w:rFonts w:ascii="Arial" w:eastAsia="Arial" w:hAnsi="Arial"/>
                <w:color w:val="000000"/>
                <w:sz w:val="24"/>
                <w:szCs w:val="24"/>
              </w:rPr>
              <w:t xml:space="preserve">; </w:t>
            </w:r>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bookmarkStart w:id="0" w:name="_GoBack"/>
            <w:bookmarkEnd w:id="0"/>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5E4B8D" w:rsidRDefault="00DC410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5E4B8D" w:rsidRDefault="00DC410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5E4B8D" w:rsidRDefault="00DC410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5E4B8D" w:rsidRDefault="00DC410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5E4B8D" w:rsidRDefault="00DC410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5E4B8D">
        <w:tc>
          <w:tcPr>
            <w:tcW w:w="2462" w:type="dxa"/>
          </w:tcPr>
          <w:p w:rsidR="005E4B8D" w:rsidRDefault="00DC410F">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5E4B8D">
        <w:tc>
          <w:tcPr>
            <w:tcW w:w="2462" w:type="dxa"/>
          </w:tcPr>
          <w:p w:rsidR="005E4B8D" w:rsidRDefault="00DC410F">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F</w:t>
            </w:r>
            <w:r>
              <w:rPr>
                <w:rFonts w:ascii="Arial" w:eastAsia="Arial" w:hAnsi="Arial"/>
                <w:color w:val="000000"/>
                <w:sz w:val="24"/>
                <w:szCs w:val="24"/>
                <w:highlight w:val="yellow"/>
              </w:rPr>
              <w:t>ramework Guarantor/ [and Call-Off Guarantor] or any Key Subcontractor]</w:t>
            </w:r>
          </w:p>
        </w:tc>
      </w:tr>
      <w:tr w:rsidR="005E4B8D">
        <w:tc>
          <w:tcPr>
            <w:tcW w:w="2462" w:type="dxa"/>
          </w:tcPr>
          <w:p w:rsidR="005E4B8D" w:rsidRDefault="00DC410F">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5E4B8D" w:rsidRDefault="00DC410F">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5E4B8D" w:rsidRDefault="00DC410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When this Schedule applies</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w:t>
      </w:r>
      <w:r>
        <w:rPr>
          <w:rFonts w:ascii="Arial" w:eastAsia="Arial" w:hAnsi="Arial"/>
          <w:color w:val="000000"/>
          <w:sz w:val="24"/>
          <w:szCs w:val="24"/>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sz w:val="24"/>
          <w:szCs w:val="24"/>
        </w:rPr>
        <w:t>ation or expiry of the Framework Contract); and</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Call-Off-Contract.</w:t>
      </w:r>
    </w:p>
    <w:p w:rsidR="005E4B8D" w:rsidRDefault="00DC410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warrants and represents to CCS that as at the Start Date the lon</w:t>
      </w:r>
      <w:r>
        <w:rPr>
          <w:rFonts w:ascii="Arial" w:eastAsia="Arial" w:hAnsi="Arial"/>
          <w:color w:val="000000"/>
          <w:sz w:val="24"/>
          <w:szCs w:val="24"/>
        </w:rPr>
        <w:t xml:space="preserve">g term credit ratings issued for the Monitored Companies by each of the Rating Agencies are as set out in Annex 2. </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w:t>
      </w:r>
      <w:r>
        <w:rPr>
          <w:rFonts w:ascii="Arial" w:eastAsia="Arial" w:hAnsi="Arial"/>
          <w:color w:val="000000"/>
          <w:sz w:val="24"/>
          <w:szCs w:val="24"/>
        </w:rPr>
        <w:t>ting issued by any Rating Agency for a Monitored Company.</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w:t>
      </w:r>
      <w:r>
        <w:rPr>
          <w:rFonts w:ascii="Arial" w:eastAsia="Arial" w:hAnsi="Arial"/>
          <w:color w:val="000000"/>
          <w:sz w:val="24"/>
          <w:szCs w:val="24"/>
        </w:rPr>
        <w:t xml:space="preserve">ng Days of written request by CCS (such requests not to exceed 4 in any Contract Year) with written calculations of the </w:t>
      </w:r>
      <w:r>
        <w:rPr>
          <w:rFonts w:ascii="Arial" w:eastAsia="Arial" w:hAnsi="Arial"/>
          <w:color w:val="000000"/>
          <w:sz w:val="24"/>
          <w:szCs w:val="24"/>
        </w:rPr>
        <w:lastRenderedPageBreak/>
        <w:t>quick ratio for the Monitored Company as at the end of each Contract Year or such other date as may be requested by CCS.  For these purp</w:t>
      </w:r>
      <w:r>
        <w:rPr>
          <w:rFonts w:ascii="Arial" w:eastAsia="Arial" w:hAnsi="Arial"/>
          <w:color w:val="000000"/>
          <w:sz w:val="24"/>
          <w:szCs w:val="24"/>
        </w:rPr>
        <w:t>oses the "quick ratio" on any date means:</w:t>
      </w:r>
    </w:p>
    <w:p w:rsidR="005E4B8D" w:rsidRDefault="00DC410F">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5E4B8D" w:rsidRDefault="00DC410F">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3"/>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5E4B8D">
        <w:tc>
          <w:tcPr>
            <w:tcW w:w="1524"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5E4B8D">
        <w:tc>
          <w:tcPr>
            <w:tcW w:w="1524"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5E4B8D">
        <w:tc>
          <w:tcPr>
            <w:tcW w:w="1524"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5E4B8D">
        <w:tc>
          <w:tcPr>
            <w:tcW w:w="1524"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5E4B8D" w:rsidRDefault="00DC410F">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s the value at the relevant date of the current liabilities of the Monitored Company.</w:t>
            </w:r>
          </w:p>
        </w:tc>
      </w:tr>
    </w:tbl>
    <w:p w:rsidR="005E4B8D" w:rsidRDefault="00DC410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shall: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5E4B8D" w:rsidRDefault="00DC410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rsidR="005E4B8D" w:rsidRDefault="00DC410F">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2et92p0"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tyjcwt" w:colFirst="0" w:colLast="0"/>
      <w:bookmarkEnd w:id="6"/>
      <w:r>
        <w:rPr>
          <w:rFonts w:ascii="Arial" w:eastAsia="Arial" w:hAnsi="Arial"/>
          <w:color w:val="000000"/>
          <w:sz w:val="24"/>
          <w:szCs w:val="24"/>
        </w:rPr>
        <w:t xml:space="preserve"> Monitored Company]</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lastRenderedPageBreak/>
        <w:t>[In the event that a Financia</w:t>
      </w:r>
      <w:r>
        <w:rPr>
          <w:rFonts w:ascii="Arial" w:eastAsia="Arial" w:hAnsi="Arial"/>
          <w:color w:val="000000"/>
          <w:sz w:val="24"/>
          <w:szCs w:val="24"/>
        </w:rPr>
        <w:t>l Distress Event arises due to a Key Subcontractor notifying CCS that the Supplier has not satisfied any sums properly due under a specified invoice and not subject to a genuine dispute then, CCS shall not exercise any of its rights or remedies under Parag</w:t>
      </w:r>
      <w:r>
        <w:rPr>
          <w:rFonts w:ascii="Arial" w:eastAsia="Arial" w:hAnsi="Arial"/>
          <w:color w:val="000000"/>
          <w:sz w:val="24"/>
          <w:szCs w:val="24"/>
        </w:rPr>
        <w:t>raph 4.3 without first giving the Supplier ten (10) Working Days to:</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5E4B8D" w:rsidRDefault="00DC410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and shall procure that the other Monitored Companies shall:</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Call-Off Contract; and</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where CCS reasonably believes (taking into account the discussions and</w:t>
      </w:r>
      <w:r>
        <w:rPr>
          <w:rFonts w:ascii="Arial" w:eastAsia="Arial" w:hAnsi="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5E4B8D" w:rsidRDefault="00DC410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w:t>
      </w:r>
      <w:r>
        <w:rPr>
          <w:rFonts w:ascii="Arial" w:eastAsia="Arial" w:hAnsi="Arial"/>
          <w:color w:val="000000"/>
          <w:sz w:val="24"/>
          <w:szCs w:val="24"/>
        </w:rPr>
        <w:t>ft Financial Distress Service Continuity Plan as soon as reasonably practicable (and in any event, within ten (10) Working Days of the initial notification (or awareness) of the Financial Distress Event); and</w:t>
      </w:r>
    </w:p>
    <w:p w:rsidR="005E4B8D" w:rsidRDefault="00DC410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provide such financial information relating to </w:t>
      </w:r>
      <w:r>
        <w:rPr>
          <w:rFonts w:ascii="Arial" w:eastAsia="Arial" w:hAnsi="Arial"/>
          <w:color w:val="000000"/>
          <w:sz w:val="24"/>
          <w:szCs w:val="24"/>
        </w:rPr>
        <w:t>the Monitored Company as CCS may reasonably require.</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5E4B8D" w:rsidRDefault="00DC410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lastRenderedPageBreak/>
        <w:t>Following Approval of the Financial Distress Service Continuity Plan by CCS, the Supplier shall:</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each Contract and delivery of the Deliverables in accordance with each Call-Off Contract;</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4.64.6. </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5E4B8D" w:rsidRDefault="00DC410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5E4B8D" w:rsidRDefault="00DC410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CCS shall be enti</w:t>
      </w:r>
      <w:r>
        <w:rPr>
          <w:rFonts w:ascii="Arial" w:eastAsia="Arial" w:hAnsi="Arial"/>
          <w:color w:val="000000"/>
          <w:sz w:val="24"/>
          <w:szCs w:val="24"/>
        </w:rPr>
        <w:t xml:space="preserve">tled to terminate this Contract and Buyers shall be entitled to terminate their Call-Off Contracts for material Default if: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w:t>
      </w:r>
      <w:r>
        <w:rPr>
          <w:rFonts w:ascii="Arial" w:eastAsia="Arial" w:hAnsi="Arial"/>
          <w:color w:val="000000"/>
          <w:sz w:val="24"/>
          <w:szCs w:val="24"/>
        </w:rPr>
        <w:t>ss Service Continuity Plan (or any updated Financial Distress Service Continuity Plan) in accordance with Paragraph 4.6.3.</w:t>
      </w:r>
    </w:p>
    <w:p w:rsidR="005E4B8D" w:rsidRDefault="00DC410F">
      <w:pPr>
        <w:tabs>
          <w:tab w:val="left" w:pos="1985"/>
        </w:tabs>
        <w:spacing w:before="240"/>
        <w:jc w:val="left"/>
        <w:rPr>
          <w:rFonts w:ascii="Arial" w:eastAsia="Arial" w:hAnsi="Arial"/>
          <w:sz w:val="24"/>
          <w:szCs w:val="24"/>
        </w:rPr>
      </w:pPr>
      <w:r>
        <w:rPr>
          <w:rFonts w:ascii="Arial" w:eastAsia="Arial" w:hAnsi="Arial"/>
          <w:sz w:val="24"/>
          <w:szCs w:val="24"/>
        </w:rPr>
        <w:t>5.2 If the Contract is terminated in accordance with Paragraph 5.1, Clauses 10.6.1  and 10.6.2 of the Core Terms shall apply as if th</w:t>
      </w:r>
      <w:r>
        <w:rPr>
          <w:rFonts w:ascii="Arial" w:eastAsia="Arial" w:hAnsi="Arial"/>
          <w:sz w:val="24"/>
          <w:szCs w:val="24"/>
        </w:rPr>
        <w:t>e Contract had been terminated under Clause 10.4.1.</w:t>
      </w:r>
    </w:p>
    <w:p w:rsidR="005E4B8D" w:rsidRDefault="00DC410F">
      <w:pPr>
        <w:pBdr>
          <w:top w:val="nil"/>
          <w:left w:val="nil"/>
          <w:bottom w:val="nil"/>
          <w:right w:val="nil"/>
          <w:between w:val="nil"/>
        </w:pBdr>
        <w:tabs>
          <w:tab w:val="left" w:pos="1985"/>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your credit rating is still good</w:t>
      </w:r>
    </w:p>
    <w:p w:rsidR="005E4B8D" w:rsidRDefault="00DC410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w:t>
      </w:r>
      <w:r>
        <w:rPr>
          <w:rFonts w:ascii="Arial" w:eastAsia="Arial" w:hAnsi="Arial"/>
          <w:color w:val="000000"/>
          <w:sz w:val="24"/>
          <w:szCs w:val="24"/>
        </w:rPr>
        <w:t xml:space="preserve"> </w:t>
      </w:r>
      <w:r>
        <w:rPr>
          <w:rFonts w:ascii="Arial" w:eastAsia="Arial" w:hAnsi="Arial"/>
          <w:color w:val="000000"/>
          <w:sz w:val="24"/>
          <w:szCs w:val="24"/>
        </w:rPr>
        <w:lastRenderedPageBreak/>
        <w:t>Distress Event, the Rating Agencies review and report subsequently that the credit ratings do not drop below the relevant Credit Rating Threshold, then:</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5E4B8D" w:rsidRDefault="00DC410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rsidR="005E4B8D" w:rsidRDefault="005E4B8D">
      <w:pPr>
        <w:pBdr>
          <w:top w:val="nil"/>
          <w:left w:val="nil"/>
          <w:bottom w:val="nil"/>
          <w:right w:val="nil"/>
          <w:between w:val="nil"/>
        </w:pBdr>
        <w:spacing w:after="0"/>
        <w:jc w:val="left"/>
        <w:rPr>
          <w:rFonts w:ascii="Arial" w:eastAsia="Arial" w:hAnsi="Arial"/>
          <w:color w:val="FFFFFF"/>
          <w:sz w:val="24"/>
          <w:szCs w:val="24"/>
        </w:rPr>
      </w:pPr>
    </w:p>
    <w:p w:rsidR="005E4B8D" w:rsidRDefault="00DC410F">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rsidR="005E4B8D" w:rsidRDefault="00DC410F">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rsidR="005E4B8D" w:rsidRDefault="00DC410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&amp; Bradstreet</w:t>
      </w:r>
    </w:p>
    <w:p w:rsidR="005E4B8D" w:rsidRDefault="005E4B8D">
      <w:pPr>
        <w:keepNext/>
        <w:pBdr>
          <w:top w:val="nil"/>
          <w:left w:val="nil"/>
          <w:bottom w:val="nil"/>
          <w:right w:val="nil"/>
          <w:between w:val="nil"/>
        </w:pBdr>
        <w:spacing w:before="240" w:after="120"/>
        <w:ind w:left="142"/>
        <w:jc w:val="left"/>
        <w:rPr>
          <w:rFonts w:ascii="Arial" w:eastAsia="Arial" w:hAnsi="Arial"/>
          <w:color w:val="000000"/>
          <w:sz w:val="24"/>
          <w:szCs w:val="24"/>
        </w:rPr>
      </w:pPr>
    </w:p>
    <w:p w:rsidR="005E4B8D" w:rsidRDefault="00DC410F">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rsidR="005E4B8D" w:rsidRDefault="00DC410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4"/>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E4B8D">
        <w:tc>
          <w:tcPr>
            <w:tcW w:w="3080" w:type="dxa"/>
            <w:tcBorders>
              <w:top w:val="single" w:sz="4" w:space="0" w:color="000000"/>
            </w:tcBorders>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5E4B8D">
        <w:tc>
          <w:tcPr>
            <w:tcW w:w="3080" w:type="dxa"/>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51</w:t>
            </w:r>
          </w:p>
        </w:tc>
      </w:tr>
      <w:tr w:rsidR="005E4B8D">
        <w:tc>
          <w:tcPr>
            <w:tcW w:w="3080" w:type="dxa"/>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[Framework Guarantor/ [and Call-Off Guarantor]</w:t>
            </w:r>
          </w:p>
        </w:tc>
        <w:tc>
          <w:tcPr>
            <w:tcW w:w="3081" w:type="dxa"/>
            <w:shd w:val="clear" w:color="auto" w:fill="FFFFFF"/>
          </w:tcPr>
          <w:p w:rsidR="005E4B8D" w:rsidRDefault="005E4B8D">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5E4B8D">
        <w:tc>
          <w:tcPr>
            <w:tcW w:w="3080" w:type="dxa"/>
            <w:tcBorders>
              <w:bottom w:val="single" w:sz="4" w:space="0" w:color="000000"/>
            </w:tcBorders>
            <w:shd w:val="clear" w:color="auto" w:fill="FFFFFF"/>
          </w:tcPr>
          <w:p w:rsidR="005E4B8D" w:rsidRDefault="00DC410F">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5E4B8D" w:rsidRDefault="005E4B8D">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5E4B8D" w:rsidRDefault="005E4B8D">
      <w:pPr>
        <w:spacing w:after="0"/>
        <w:rPr>
          <w:rFonts w:ascii="Arial" w:eastAsia="Arial" w:hAnsi="Arial"/>
          <w:sz w:val="24"/>
          <w:szCs w:val="24"/>
        </w:rPr>
      </w:pPr>
    </w:p>
    <w:sectPr w:rsidR="005E4B8D">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10F" w:rsidRDefault="00DC410F">
      <w:pPr>
        <w:spacing w:after="0"/>
      </w:pPr>
      <w:r>
        <w:separator/>
      </w:r>
    </w:p>
  </w:endnote>
  <w:endnote w:type="continuationSeparator" w:id="0">
    <w:p w:rsidR="00DC410F" w:rsidRDefault="00DC4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8D" w:rsidRDefault="00DC410F">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RM6188                                           </w:t>
    </w:r>
  </w:p>
  <w:p w:rsidR="005E4B8D" w:rsidRDefault="00DC410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541E8">
      <w:rPr>
        <w:rFonts w:ascii="Arial" w:eastAsia="Arial" w:hAnsi="Arial"/>
        <w:color w:val="000000"/>
        <w:sz w:val="20"/>
        <w:szCs w:val="20"/>
      </w:rPr>
      <w:fldChar w:fldCharType="separate"/>
    </w:r>
    <w:r w:rsidR="007541E8">
      <w:rPr>
        <w:rFonts w:ascii="Arial" w:eastAsia="Arial" w:hAnsi="Arial"/>
        <w:noProof/>
        <w:color w:val="000000"/>
        <w:sz w:val="20"/>
        <w:szCs w:val="20"/>
      </w:rPr>
      <w:t>3</w:t>
    </w:r>
    <w:r>
      <w:rPr>
        <w:rFonts w:ascii="Arial" w:eastAsia="Arial" w:hAnsi="Arial"/>
        <w:color w:val="000000"/>
        <w:sz w:val="20"/>
        <w:szCs w:val="20"/>
      </w:rPr>
      <w:fldChar w:fldCharType="end"/>
    </w:r>
  </w:p>
  <w:p w:rsidR="005E4B8D" w:rsidRDefault="00DC410F">
    <w:pPr>
      <w:spacing w:after="0"/>
      <w:rPr>
        <w:rFonts w:ascii="Arial" w:eastAsia="Arial" w:hAnsi="Arial"/>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8D" w:rsidRDefault="00DC410F">
    <w:pPr>
      <w:tabs>
        <w:tab w:val="center" w:pos="4513"/>
        <w:tab w:val="right" w:pos="9026"/>
      </w:tabs>
      <w:spacing w:after="0"/>
      <w:rPr>
        <w:color w:val="BFBFBF"/>
      </w:rPr>
    </w:pPr>
    <w:r>
      <w:rPr>
        <w:color w:val="BFBFBF"/>
      </w:rPr>
      <w:t>Framework Ref: RM</w:t>
    </w:r>
    <w:r>
      <w:rPr>
        <w:color w:val="BFBFBF"/>
      </w:rPr>
      <w:tab/>
      <w:t xml:space="preserve">                                           </w:t>
    </w:r>
  </w:p>
  <w:p w:rsidR="005E4B8D" w:rsidRDefault="00DC410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5E4B8D" w:rsidRDefault="00DC410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10F" w:rsidRDefault="00DC410F">
      <w:pPr>
        <w:spacing w:after="0"/>
      </w:pPr>
      <w:r>
        <w:separator/>
      </w:r>
    </w:p>
  </w:footnote>
  <w:footnote w:type="continuationSeparator" w:id="0">
    <w:p w:rsidR="00DC410F" w:rsidRDefault="00DC4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8D" w:rsidRDefault="00DC410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5E4B8D" w:rsidRDefault="00DC410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2897"/>
    <w:multiLevelType w:val="multilevel"/>
    <w:tmpl w:val="D5A6EE1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595F6C"/>
    <w:multiLevelType w:val="multilevel"/>
    <w:tmpl w:val="E7BE062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B8D"/>
    <w:rsid w:val="005E4B8D"/>
    <w:rsid w:val="007541E8"/>
    <w:rsid w:val="00DC4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65FB"/>
  <w15:docId w15:val="{68891B9B-40AD-401B-836C-61C1EA4C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NMqb7RqBGSCu5schaFc4ygrdyw==">AMUW2mUd4MhxyGPDZgoKs8OWWQXBG+swsnDlv3tvhad56PfP2iO+Iba4p4VZqnSYHGSwL0I189L4CBThvtK0kAdpp407pI45pX9AUf1IBuFV5tM/yelfAtX7ucE8GvFtltFiGSSZUPO3LTP8+ovm2ylbBO3nmswPHBGHe67MsHHBpZhJL9YWWr/tcXGVZu/iCt4pDLQ/BOZYHIH2VgkGsHDvgleMO0KEPt1rs5Ze2kJVchI6kjJDFbMAE5KN6e7vqEECMHvnamavg2FEtpxqR6lP/t30w5J4SjGh5qJp4g7aZSk1zDP7sTKHvi0YQHrvfRn5+lY629pBuVuDOB/4Jlqfl582piHR+Md4M10Fcoy+9mCT4ziJMUKsC69AWIPiZSJRIzSxkEJhmJGOFWuNQEfdAI0x+d73v8MCLawWHp28r3+doVh44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Pyle</dc:creator>
  <cp:lastModifiedBy>David Pyle</cp:lastModifiedBy>
  <cp:revision>2</cp:revision>
  <dcterms:created xsi:type="dcterms:W3CDTF">2021-02-25T15:15:00Z</dcterms:created>
  <dcterms:modified xsi:type="dcterms:W3CDTF">2021-02-25T15:15:00Z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